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4ADA5" w14:textId="3CBA8FBD" w:rsidR="00A41B0B" w:rsidRDefault="00A41B0B" w:rsidP="004A6FFE">
      <w:pPr>
        <w:pStyle w:val="Base"/>
      </w:pPr>
      <w:r>
        <w:t>10A NCAC 15 .0212 is amend</w:t>
      </w:r>
      <w:r w:rsidR="002314F2">
        <w:t xml:space="preserve">ed </w:t>
      </w:r>
      <w:r w:rsidR="00204E81" w:rsidRPr="00204E81">
        <w:rPr>
          <w:u w:val="single"/>
        </w:rPr>
        <w:t>with changes</w:t>
      </w:r>
      <w:r w:rsidR="00204E81">
        <w:t xml:space="preserve"> </w:t>
      </w:r>
      <w:r w:rsidR="002314F2">
        <w:t>as published in 39:10 NCR 629-642</w:t>
      </w:r>
      <w:r>
        <w:t xml:space="preserve"> as follows:</w:t>
      </w:r>
    </w:p>
    <w:p w14:paraId="26F6825D" w14:textId="77777777" w:rsidR="00A41B0B" w:rsidRPr="00F63997" w:rsidRDefault="00A41B0B" w:rsidP="004A6FFE">
      <w:pPr>
        <w:pStyle w:val="Base"/>
      </w:pPr>
    </w:p>
    <w:p w14:paraId="59F3E115" w14:textId="77777777" w:rsidR="00A41B0B" w:rsidRPr="000A025A" w:rsidRDefault="00A41B0B" w:rsidP="004A6FFE">
      <w:pPr>
        <w:pStyle w:val="Rule"/>
        <w:rPr>
          <w:u w:val="single"/>
        </w:rPr>
      </w:pPr>
      <w:r w:rsidRPr="00EA748B">
        <w:t>10A NCAC 15 .0212</w:t>
      </w:r>
      <w:r w:rsidRPr="00EA748B">
        <w:tab/>
      </w:r>
      <w:r w:rsidRPr="000A025A">
        <w:rPr>
          <w:strike/>
        </w:rPr>
        <w:t>MODIFICATIONS: REVOCATION: TERMINATION OF REGISTRANTS</w:t>
      </w:r>
      <w:r>
        <w:t xml:space="preserve"> </w:t>
      </w:r>
      <w:r w:rsidRPr="00CD03D2">
        <w:rPr>
          <w:u w:val="single"/>
        </w:rPr>
        <w:t>emerging</w:t>
      </w:r>
      <w:r>
        <w:rPr>
          <w:u w:val="single"/>
        </w:rPr>
        <w:t xml:space="preserve"> </w:t>
      </w:r>
      <w:r w:rsidRPr="00CD03D2">
        <w:rPr>
          <w:u w:val="single"/>
        </w:rPr>
        <w:t xml:space="preserve">technologies </w:t>
      </w:r>
      <w:r>
        <w:rPr>
          <w:u w:val="single"/>
        </w:rPr>
        <w:t xml:space="preserve">not meetIng EXISTING EQUIPMENT </w:t>
      </w:r>
      <w:r w:rsidRPr="002A53AB">
        <w:rPr>
          <w:u w:val="single"/>
        </w:rPr>
        <w:t>requirements</w:t>
      </w:r>
    </w:p>
    <w:p w14:paraId="7C0EBE6A" w14:textId="77777777" w:rsidR="00A41B0B" w:rsidRPr="000A025A" w:rsidRDefault="00A41B0B" w:rsidP="004A6FFE">
      <w:pPr>
        <w:pStyle w:val="Paragraph"/>
        <w:rPr>
          <w:strike/>
        </w:rPr>
      </w:pPr>
      <w:r w:rsidRPr="000A025A">
        <w:rPr>
          <w:strike/>
        </w:rPr>
        <w:t>(a</w:t>
      </w:r>
      <w:proofErr w:type="gramStart"/>
      <w:r w:rsidRPr="000A025A">
        <w:rPr>
          <w:strike/>
        </w:rPr>
        <w:t>)  The</w:t>
      </w:r>
      <w:proofErr w:type="gramEnd"/>
      <w:r w:rsidRPr="000A025A">
        <w:rPr>
          <w:strike/>
        </w:rPr>
        <w:t xml:space="preserve"> terms and conditions of all registrations are subject to amendment, revision or modification and all registrations are subject to suspension or revocation by reason of:</w:t>
      </w:r>
    </w:p>
    <w:p w14:paraId="5CABD5E7" w14:textId="77777777" w:rsidR="00A41B0B" w:rsidRPr="000A025A" w:rsidRDefault="00A41B0B" w:rsidP="004A6FFE">
      <w:pPr>
        <w:pStyle w:val="SubParagraph"/>
        <w:tabs>
          <w:tab w:val="clear" w:pos="1800"/>
        </w:tabs>
        <w:rPr>
          <w:strike/>
        </w:rPr>
      </w:pPr>
      <w:r w:rsidRPr="000A025A">
        <w:rPr>
          <w:strike/>
        </w:rPr>
        <w:t>(1)</w:t>
      </w:r>
      <w:r w:rsidRPr="000A025A">
        <w:rPr>
          <w:strike/>
        </w:rPr>
        <w:tab/>
        <w:t>rules adopted pursuant to provisions of the Act; or</w:t>
      </w:r>
    </w:p>
    <w:p w14:paraId="4739E040" w14:textId="77777777" w:rsidR="00A41B0B" w:rsidRPr="000A025A" w:rsidRDefault="00A41B0B" w:rsidP="004A6FFE">
      <w:pPr>
        <w:pStyle w:val="SubParagraph"/>
        <w:tabs>
          <w:tab w:val="clear" w:pos="1800"/>
        </w:tabs>
        <w:rPr>
          <w:strike/>
        </w:rPr>
      </w:pPr>
      <w:r w:rsidRPr="000A025A">
        <w:rPr>
          <w:strike/>
        </w:rPr>
        <w:t>(2)</w:t>
      </w:r>
      <w:r w:rsidRPr="000A025A">
        <w:rPr>
          <w:strike/>
        </w:rPr>
        <w:tab/>
        <w:t>orders issued by the agency pursuant to provisions of the Act and rules adopted pursuant to provisions of the Act.</w:t>
      </w:r>
    </w:p>
    <w:p w14:paraId="125CCF38" w14:textId="77777777" w:rsidR="00A41B0B" w:rsidRPr="000A025A" w:rsidRDefault="00A41B0B" w:rsidP="004A6FFE">
      <w:pPr>
        <w:pStyle w:val="Paragraph"/>
        <w:rPr>
          <w:strike/>
        </w:rPr>
      </w:pPr>
      <w:r w:rsidRPr="000A025A">
        <w:rPr>
          <w:strike/>
        </w:rPr>
        <w:t>(b</w:t>
      </w:r>
      <w:proofErr w:type="gramStart"/>
      <w:r w:rsidRPr="000A025A">
        <w:rPr>
          <w:strike/>
        </w:rPr>
        <w:t>)  Any</w:t>
      </w:r>
      <w:proofErr w:type="gramEnd"/>
      <w:r w:rsidRPr="000A025A">
        <w:rPr>
          <w:strike/>
        </w:rPr>
        <w:t xml:space="preserve"> registration may be revoked, suspended or modified in whole or in part:</w:t>
      </w:r>
    </w:p>
    <w:p w14:paraId="0D865444" w14:textId="77777777" w:rsidR="00A41B0B" w:rsidRPr="000A025A" w:rsidRDefault="00A41B0B" w:rsidP="004A6FFE">
      <w:pPr>
        <w:pStyle w:val="SubParagraph"/>
        <w:tabs>
          <w:tab w:val="clear" w:pos="1800"/>
        </w:tabs>
        <w:rPr>
          <w:strike/>
        </w:rPr>
      </w:pPr>
      <w:r w:rsidRPr="000A025A">
        <w:rPr>
          <w:strike/>
        </w:rPr>
        <w:t>(1)</w:t>
      </w:r>
      <w:r w:rsidRPr="000A025A">
        <w:rPr>
          <w:strike/>
        </w:rPr>
        <w:tab/>
        <w:t xml:space="preserve">for any </w:t>
      </w:r>
      <w:proofErr w:type="gramStart"/>
      <w:r w:rsidRPr="000A025A">
        <w:rPr>
          <w:strike/>
        </w:rPr>
        <w:t>material</w:t>
      </w:r>
      <w:proofErr w:type="gramEnd"/>
      <w:r w:rsidRPr="000A025A">
        <w:rPr>
          <w:strike/>
        </w:rPr>
        <w:t xml:space="preserve"> false statement in the application or in any statement of fact required by provisions of this Section;</w:t>
      </w:r>
    </w:p>
    <w:p w14:paraId="755B5BAA" w14:textId="77777777" w:rsidR="00A41B0B" w:rsidRPr="000A025A" w:rsidRDefault="00A41B0B" w:rsidP="004A6FFE">
      <w:pPr>
        <w:pStyle w:val="SubParagraph"/>
        <w:tabs>
          <w:tab w:val="clear" w:pos="1800"/>
        </w:tabs>
        <w:rPr>
          <w:strike/>
        </w:rPr>
      </w:pPr>
      <w:r w:rsidRPr="000A025A">
        <w:rPr>
          <w:strike/>
        </w:rPr>
        <w:t>(2)</w:t>
      </w:r>
      <w:r w:rsidRPr="000A025A">
        <w:rPr>
          <w:strike/>
        </w:rPr>
        <w:tab/>
        <w:t xml:space="preserve">because of conditions which would warrant the agency to refuse to grant a registration on </w:t>
      </w:r>
      <w:proofErr w:type="gramStart"/>
      <w:r w:rsidRPr="000A025A">
        <w:rPr>
          <w:strike/>
        </w:rPr>
        <w:t>original</w:t>
      </w:r>
      <w:proofErr w:type="gramEnd"/>
      <w:r w:rsidRPr="000A025A">
        <w:rPr>
          <w:strike/>
        </w:rPr>
        <w:t xml:space="preserve"> application revealed by:</w:t>
      </w:r>
    </w:p>
    <w:p w14:paraId="4CD873FB" w14:textId="77777777" w:rsidR="00A41B0B" w:rsidRPr="000A025A" w:rsidRDefault="00A41B0B" w:rsidP="004A6FFE">
      <w:pPr>
        <w:pStyle w:val="Part"/>
        <w:tabs>
          <w:tab w:val="clear" w:pos="2520"/>
        </w:tabs>
        <w:rPr>
          <w:strike/>
        </w:rPr>
      </w:pPr>
      <w:r w:rsidRPr="000A025A">
        <w:rPr>
          <w:strike/>
        </w:rPr>
        <w:t>(A)</w:t>
      </w:r>
      <w:r w:rsidRPr="000A025A">
        <w:rPr>
          <w:strike/>
        </w:rPr>
        <w:tab/>
        <w:t xml:space="preserve">the </w:t>
      </w:r>
      <w:proofErr w:type="gramStart"/>
      <w:r w:rsidRPr="000A025A">
        <w:rPr>
          <w:strike/>
        </w:rPr>
        <w:t>application;</w:t>
      </w:r>
      <w:proofErr w:type="gramEnd"/>
    </w:p>
    <w:p w14:paraId="26E63B54" w14:textId="77777777" w:rsidR="00A41B0B" w:rsidRPr="000A025A" w:rsidRDefault="00A41B0B" w:rsidP="004A6FFE">
      <w:pPr>
        <w:pStyle w:val="Part"/>
        <w:tabs>
          <w:tab w:val="clear" w:pos="2520"/>
        </w:tabs>
        <w:rPr>
          <w:strike/>
        </w:rPr>
      </w:pPr>
      <w:r w:rsidRPr="000A025A">
        <w:rPr>
          <w:strike/>
        </w:rPr>
        <w:t>(B)</w:t>
      </w:r>
      <w:r w:rsidRPr="000A025A">
        <w:rPr>
          <w:strike/>
        </w:rPr>
        <w:tab/>
        <w:t xml:space="preserve">any statement of </w:t>
      </w:r>
      <w:proofErr w:type="gramStart"/>
      <w:r w:rsidRPr="000A025A">
        <w:rPr>
          <w:strike/>
        </w:rPr>
        <w:t>fact;</w:t>
      </w:r>
      <w:proofErr w:type="gramEnd"/>
    </w:p>
    <w:p w14:paraId="697EC281" w14:textId="77777777" w:rsidR="00A41B0B" w:rsidRPr="000A025A" w:rsidRDefault="00A41B0B" w:rsidP="004A6FFE">
      <w:pPr>
        <w:pStyle w:val="Part"/>
        <w:tabs>
          <w:tab w:val="clear" w:pos="2520"/>
        </w:tabs>
        <w:rPr>
          <w:strike/>
        </w:rPr>
      </w:pPr>
      <w:r w:rsidRPr="000A025A">
        <w:rPr>
          <w:strike/>
        </w:rPr>
        <w:t>(C)</w:t>
      </w:r>
      <w:r w:rsidRPr="000A025A">
        <w:rPr>
          <w:strike/>
        </w:rPr>
        <w:tab/>
        <w:t>any report, record, inspection or other means; or</w:t>
      </w:r>
    </w:p>
    <w:p w14:paraId="3EF8C985" w14:textId="77777777" w:rsidR="00A41B0B" w:rsidRPr="000A025A" w:rsidRDefault="00A41B0B" w:rsidP="004A6FFE">
      <w:pPr>
        <w:pStyle w:val="SubParagraph"/>
        <w:tabs>
          <w:tab w:val="clear" w:pos="1800"/>
        </w:tabs>
        <w:rPr>
          <w:strike/>
        </w:rPr>
      </w:pPr>
      <w:r w:rsidRPr="000A025A">
        <w:rPr>
          <w:strike/>
        </w:rPr>
        <w:t>(3)</w:t>
      </w:r>
      <w:r w:rsidRPr="000A025A">
        <w:rPr>
          <w:strike/>
        </w:rPr>
        <w:tab/>
        <w:t>for violations of, or failure to observe any of the terms and conditions of the Act, the registration, the rules of this Chapter, or order of the agency.</w:t>
      </w:r>
    </w:p>
    <w:p w14:paraId="6957DA6A" w14:textId="77777777" w:rsidR="00A41B0B" w:rsidRPr="000A025A" w:rsidRDefault="00A41B0B" w:rsidP="004A6FFE">
      <w:pPr>
        <w:pStyle w:val="Paragraph"/>
        <w:rPr>
          <w:strike/>
        </w:rPr>
      </w:pPr>
      <w:r w:rsidRPr="000A025A">
        <w:rPr>
          <w:strike/>
        </w:rPr>
        <w:t>(c</w:t>
      </w:r>
      <w:proofErr w:type="gramStart"/>
      <w:r w:rsidRPr="000A025A">
        <w:rPr>
          <w:strike/>
        </w:rPr>
        <w:t>)  Except</w:t>
      </w:r>
      <w:proofErr w:type="gramEnd"/>
      <w:r w:rsidRPr="000A025A">
        <w:rPr>
          <w:strike/>
        </w:rPr>
        <w:t xml:space="preserve"> in cases of willfulness or those in which the public health, interest or safety requires otherwise, prior to the institution of proceedings for modification, revocation or suspension of a registrant, the agency shall:</w:t>
      </w:r>
    </w:p>
    <w:p w14:paraId="6A63124F" w14:textId="77777777" w:rsidR="00A41B0B" w:rsidRPr="000A025A" w:rsidRDefault="00A41B0B" w:rsidP="004A6FFE">
      <w:pPr>
        <w:pStyle w:val="SubParagraph"/>
        <w:tabs>
          <w:tab w:val="clear" w:pos="1800"/>
        </w:tabs>
        <w:rPr>
          <w:strike/>
        </w:rPr>
      </w:pPr>
      <w:r w:rsidRPr="000A025A">
        <w:rPr>
          <w:strike/>
        </w:rPr>
        <w:t>(1)</w:t>
      </w:r>
      <w:r w:rsidRPr="000A025A">
        <w:rPr>
          <w:strike/>
        </w:rPr>
        <w:tab/>
        <w:t>call to the attention of the registrant in writing the facts or conduct which may warrant these actions, and</w:t>
      </w:r>
    </w:p>
    <w:p w14:paraId="75C25FED" w14:textId="77777777" w:rsidR="00A41B0B" w:rsidRPr="000A025A" w:rsidRDefault="00A41B0B" w:rsidP="004A6FFE">
      <w:pPr>
        <w:pStyle w:val="SubParagraph"/>
        <w:tabs>
          <w:tab w:val="clear" w:pos="1800"/>
        </w:tabs>
        <w:rPr>
          <w:strike/>
        </w:rPr>
      </w:pPr>
      <w:r w:rsidRPr="000A025A">
        <w:rPr>
          <w:strike/>
        </w:rPr>
        <w:t>(2)</w:t>
      </w:r>
      <w:r w:rsidRPr="000A025A">
        <w:rPr>
          <w:strike/>
        </w:rPr>
        <w:tab/>
        <w:t>provide an opportunity for the registrant to demonstrate or achieve compliance with all lawful requirements.</w:t>
      </w:r>
    </w:p>
    <w:p w14:paraId="3CE6F146" w14:textId="77777777" w:rsidR="00A41B0B" w:rsidRPr="000A025A" w:rsidRDefault="00A41B0B" w:rsidP="004A6FFE">
      <w:pPr>
        <w:pStyle w:val="Paragraph"/>
        <w:rPr>
          <w:strike/>
        </w:rPr>
      </w:pPr>
      <w:r w:rsidRPr="000A025A">
        <w:rPr>
          <w:strike/>
        </w:rPr>
        <w:t>(d</w:t>
      </w:r>
      <w:proofErr w:type="gramStart"/>
      <w:r w:rsidRPr="000A025A">
        <w:rPr>
          <w:strike/>
        </w:rPr>
        <w:t>)  Before</w:t>
      </w:r>
      <w:proofErr w:type="gramEnd"/>
      <w:r w:rsidRPr="000A025A">
        <w:rPr>
          <w:strike/>
        </w:rPr>
        <w:t xml:space="preserve"> any order is entered suspending, revoking or modifying a registration, the agency shall give notice and grant a hearing as provided in Chapter 150B of the North Carolina General Statutes.</w:t>
      </w:r>
    </w:p>
    <w:p w14:paraId="02C2CCBF" w14:textId="77777777" w:rsidR="00A41B0B" w:rsidRPr="000A025A" w:rsidRDefault="00A41B0B" w:rsidP="004A6FFE">
      <w:pPr>
        <w:pStyle w:val="Paragraph"/>
        <w:rPr>
          <w:strike/>
        </w:rPr>
      </w:pPr>
      <w:r w:rsidRPr="000A025A">
        <w:rPr>
          <w:strike/>
        </w:rPr>
        <w:t>(e</w:t>
      </w:r>
      <w:proofErr w:type="gramStart"/>
      <w:r w:rsidRPr="000A025A">
        <w:rPr>
          <w:strike/>
        </w:rPr>
        <w:t>)  The</w:t>
      </w:r>
      <w:proofErr w:type="gramEnd"/>
      <w:r w:rsidRPr="000A025A">
        <w:rPr>
          <w:strike/>
        </w:rPr>
        <w:t xml:space="preserve"> agency may terminate a registration upon written request submitted by the registrant to the agency.</w:t>
      </w:r>
    </w:p>
    <w:p w14:paraId="0635655A" w14:textId="5D259407" w:rsidR="00A41B0B" w:rsidRDefault="00A41B0B" w:rsidP="004A6FFE">
      <w:pPr>
        <w:pStyle w:val="Paragraph"/>
        <w:rPr>
          <w:u w:val="single"/>
        </w:rPr>
      </w:pPr>
      <w:r>
        <w:rPr>
          <w:u w:val="single"/>
        </w:rPr>
        <w:t xml:space="preserve">(a)  Radiation machines or radiation generating devices that </w:t>
      </w:r>
      <w:r w:rsidR="00204E81" w:rsidRPr="00204E81">
        <w:rPr>
          <w:highlight w:val="yellow"/>
          <w:u w:val="single"/>
        </w:rPr>
        <w:t>[</w:t>
      </w:r>
      <w:r w:rsidR="00204E81" w:rsidRPr="00204E81">
        <w:rPr>
          <w:strike/>
          <w:highlight w:val="yellow"/>
        </w:rPr>
        <w:t>are not able</w:t>
      </w:r>
      <w:r w:rsidR="00204E81" w:rsidRPr="00204E81">
        <w:rPr>
          <w:highlight w:val="yellow"/>
          <w:u w:val="single"/>
        </w:rPr>
        <w:t xml:space="preserve">] </w:t>
      </w:r>
      <w:r w:rsidRPr="00204E81">
        <w:rPr>
          <w:highlight w:val="yellow"/>
          <w:u w:val="single"/>
        </w:rPr>
        <w:t xml:space="preserve">do not meet the </w:t>
      </w:r>
      <w:r w:rsidR="00204E81" w:rsidRPr="00204E81">
        <w:rPr>
          <w:highlight w:val="yellow"/>
          <w:u w:val="single"/>
        </w:rPr>
        <w:t>[</w:t>
      </w:r>
      <w:r w:rsidR="00204E81" w:rsidRPr="00204E81">
        <w:rPr>
          <w:strike/>
          <w:highlight w:val="yellow"/>
        </w:rPr>
        <w:t>equipment requirements of these Rules</w:t>
      </w:r>
      <w:r w:rsidR="00204E81" w:rsidRPr="00204E81">
        <w:rPr>
          <w:highlight w:val="yellow"/>
          <w:u w:val="single"/>
        </w:rPr>
        <w:t xml:space="preserve">] </w:t>
      </w:r>
      <w:r w:rsidRPr="00204E81">
        <w:rPr>
          <w:highlight w:val="yellow"/>
          <w:u w:val="single"/>
        </w:rPr>
        <w:t>radiation machine requirements Section .0600 of this Chapter or radiation generating devices in Rule .0807 of this Chapter</w:t>
      </w:r>
      <w:r>
        <w:rPr>
          <w:u w:val="single"/>
        </w:rPr>
        <w:t xml:space="preserve"> shall not be sold, installed, or used prior to the agency completing a review of information regarding the radiation machine and determining if the use of the radiation machine is allowed. The user or manufacturer of the radiation machine shall submit the following to the agency for review:</w:t>
      </w:r>
    </w:p>
    <w:p w14:paraId="497DD662" w14:textId="77777777" w:rsidR="00A41B0B" w:rsidRDefault="00A41B0B" w:rsidP="004A6FFE">
      <w:pPr>
        <w:pStyle w:val="SubParagraph"/>
        <w:rPr>
          <w:u w:val="single"/>
        </w:rPr>
      </w:pPr>
      <w:r>
        <w:rPr>
          <w:u w:val="single"/>
        </w:rPr>
        <w:t>(1)</w:t>
      </w:r>
      <w:r>
        <w:rPr>
          <w:u w:val="single"/>
        </w:rPr>
        <w:tab/>
        <w:t xml:space="preserve">an equipment application form in accordance with Rule .0204(c) of this </w:t>
      </w:r>
      <w:proofErr w:type="gramStart"/>
      <w:r>
        <w:rPr>
          <w:u w:val="single"/>
        </w:rPr>
        <w:t>Section;</w:t>
      </w:r>
      <w:proofErr w:type="gramEnd"/>
    </w:p>
    <w:p w14:paraId="7B965045" w14:textId="77777777" w:rsidR="00A41B0B" w:rsidRDefault="00A41B0B" w:rsidP="004A6FFE">
      <w:pPr>
        <w:pStyle w:val="SubParagraph"/>
        <w:rPr>
          <w:u w:val="single"/>
        </w:rPr>
      </w:pPr>
      <w:r>
        <w:rPr>
          <w:u w:val="single"/>
        </w:rPr>
        <w:t>(2)</w:t>
      </w:r>
      <w:r>
        <w:rPr>
          <w:u w:val="single"/>
        </w:rPr>
        <w:tab/>
        <w:t xml:space="preserve">the manufacturer </w:t>
      </w:r>
      <w:proofErr w:type="gramStart"/>
      <w:r>
        <w:rPr>
          <w:u w:val="single"/>
        </w:rPr>
        <w:t>manual;</w:t>
      </w:r>
      <w:proofErr w:type="gramEnd"/>
    </w:p>
    <w:p w14:paraId="50926073" w14:textId="77777777" w:rsidR="00A41B0B" w:rsidRDefault="00A41B0B" w:rsidP="004A6FFE">
      <w:pPr>
        <w:pStyle w:val="SubParagraph"/>
        <w:rPr>
          <w:u w:val="single"/>
        </w:rPr>
      </w:pPr>
      <w:r>
        <w:rPr>
          <w:u w:val="single"/>
        </w:rPr>
        <w:t>(3)</w:t>
      </w:r>
      <w:r>
        <w:rPr>
          <w:u w:val="single"/>
        </w:rPr>
        <w:tab/>
        <w:t xml:space="preserve">description of intended </w:t>
      </w:r>
      <w:proofErr w:type="gramStart"/>
      <w:r>
        <w:rPr>
          <w:u w:val="single"/>
        </w:rPr>
        <w:t>use;</w:t>
      </w:r>
      <w:proofErr w:type="gramEnd"/>
    </w:p>
    <w:p w14:paraId="1A8AFF82" w14:textId="77777777" w:rsidR="00A41B0B" w:rsidRDefault="00A41B0B" w:rsidP="004A6FFE">
      <w:pPr>
        <w:pStyle w:val="SubParagraph"/>
        <w:rPr>
          <w:u w:val="single"/>
        </w:rPr>
      </w:pPr>
      <w:r>
        <w:rPr>
          <w:u w:val="single"/>
        </w:rPr>
        <w:lastRenderedPageBreak/>
        <w:t>(4)</w:t>
      </w:r>
      <w:r>
        <w:rPr>
          <w:u w:val="single"/>
        </w:rPr>
        <w:tab/>
        <w:t xml:space="preserve">operator training provided to the end </w:t>
      </w:r>
      <w:proofErr w:type="gramStart"/>
      <w:r>
        <w:rPr>
          <w:u w:val="single"/>
        </w:rPr>
        <w:t>user;</w:t>
      </w:r>
      <w:proofErr w:type="gramEnd"/>
    </w:p>
    <w:p w14:paraId="6178EEFF" w14:textId="77777777" w:rsidR="00A41B0B" w:rsidRDefault="00A41B0B" w:rsidP="004A6FFE">
      <w:pPr>
        <w:pStyle w:val="SubParagraph"/>
        <w:rPr>
          <w:u w:val="single"/>
        </w:rPr>
      </w:pPr>
      <w:r>
        <w:rPr>
          <w:u w:val="single"/>
        </w:rPr>
        <w:t>(5)</w:t>
      </w:r>
      <w:r>
        <w:rPr>
          <w:u w:val="single"/>
        </w:rPr>
        <w:tab/>
      </w:r>
      <w:bookmarkStart w:id="0" w:name="_Hlk152580316"/>
      <w:r>
        <w:rPr>
          <w:u w:val="single"/>
        </w:rPr>
        <w:t>an independent equipment survey to include the following:</w:t>
      </w:r>
      <w:bookmarkEnd w:id="0"/>
    </w:p>
    <w:p w14:paraId="7775A57E" w14:textId="77777777" w:rsidR="00A41B0B" w:rsidRPr="000808F4" w:rsidRDefault="00A41B0B" w:rsidP="004A6FFE">
      <w:pPr>
        <w:pStyle w:val="Part"/>
        <w:rPr>
          <w:u w:val="single"/>
        </w:rPr>
      </w:pPr>
      <w:r w:rsidRPr="000808F4">
        <w:rPr>
          <w:u w:val="single"/>
        </w:rPr>
        <w:t>(A)</w:t>
      </w:r>
      <w:r w:rsidRPr="000808F4">
        <w:rPr>
          <w:u w:val="single"/>
        </w:rPr>
        <w:tab/>
      </w:r>
      <w:r>
        <w:rPr>
          <w:u w:val="single"/>
        </w:rPr>
        <w:t xml:space="preserve">all </w:t>
      </w:r>
      <w:r w:rsidRPr="000808F4">
        <w:rPr>
          <w:u w:val="single"/>
        </w:rPr>
        <w:t xml:space="preserve">equipment settings available to </w:t>
      </w:r>
      <w:r>
        <w:rPr>
          <w:u w:val="single"/>
        </w:rPr>
        <w:t xml:space="preserve">the </w:t>
      </w:r>
      <w:proofErr w:type="gramStart"/>
      <w:r w:rsidRPr="000808F4">
        <w:rPr>
          <w:u w:val="single"/>
        </w:rPr>
        <w:t>operator</w:t>
      </w:r>
      <w:r>
        <w:rPr>
          <w:u w:val="single"/>
        </w:rPr>
        <w:t>;</w:t>
      </w:r>
      <w:proofErr w:type="gramEnd"/>
    </w:p>
    <w:p w14:paraId="775AD273" w14:textId="77777777" w:rsidR="00A41B0B" w:rsidRDefault="00A41B0B" w:rsidP="004A6FFE">
      <w:pPr>
        <w:pStyle w:val="Part"/>
        <w:rPr>
          <w:u w:val="single"/>
        </w:rPr>
      </w:pPr>
      <w:r>
        <w:rPr>
          <w:u w:val="single"/>
        </w:rPr>
        <w:t>(B)</w:t>
      </w:r>
      <w:r>
        <w:rPr>
          <w:u w:val="single"/>
        </w:rPr>
        <w:tab/>
      </w:r>
      <w:r w:rsidRPr="000808F4">
        <w:rPr>
          <w:u w:val="single"/>
        </w:rPr>
        <w:t xml:space="preserve">output at </w:t>
      </w:r>
      <w:r>
        <w:rPr>
          <w:u w:val="single"/>
        </w:rPr>
        <w:t xml:space="preserve">the </w:t>
      </w:r>
      <w:r w:rsidRPr="000808F4">
        <w:rPr>
          <w:u w:val="single"/>
        </w:rPr>
        <w:t>highest setting</w:t>
      </w:r>
      <w:r>
        <w:rPr>
          <w:u w:val="single"/>
        </w:rPr>
        <w:t xml:space="preserve">; </w:t>
      </w:r>
      <w:r w:rsidRPr="00204E81">
        <w:rPr>
          <w:highlight w:val="yellow"/>
          <w:u w:val="single"/>
        </w:rPr>
        <w:t>and</w:t>
      </w:r>
    </w:p>
    <w:p w14:paraId="72487365" w14:textId="77777777" w:rsidR="00A41B0B" w:rsidRPr="000808F4" w:rsidRDefault="00A41B0B" w:rsidP="004A6FFE">
      <w:pPr>
        <w:pStyle w:val="Part"/>
      </w:pPr>
      <w:r>
        <w:rPr>
          <w:u w:val="single"/>
        </w:rPr>
        <w:t>(C)</w:t>
      </w:r>
      <w:r>
        <w:rPr>
          <w:u w:val="single"/>
        </w:rPr>
        <w:tab/>
        <w:t>l</w:t>
      </w:r>
      <w:r w:rsidRPr="000808F4">
        <w:rPr>
          <w:u w:val="single"/>
        </w:rPr>
        <w:t xml:space="preserve">eakage radiation around </w:t>
      </w:r>
      <w:r>
        <w:rPr>
          <w:u w:val="single"/>
        </w:rPr>
        <w:t>the radiation machine.</w:t>
      </w:r>
    </w:p>
    <w:p w14:paraId="607FE000" w14:textId="77777777" w:rsidR="00A41B0B" w:rsidRDefault="00A41B0B" w:rsidP="004A6FFE">
      <w:pPr>
        <w:pStyle w:val="SubParagraph"/>
        <w:rPr>
          <w:u w:val="single"/>
        </w:rPr>
      </w:pPr>
      <w:r>
        <w:rPr>
          <w:u w:val="single"/>
        </w:rPr>
        <w:t>(6)</w:t>
      </w:r>
      <w:r>
        <w:rPr>
          <w:u w:val="single"/>
        </w:rPr>
        <w:tab/>
        <w:t>an area survey to include the following:</w:t>
      </w:r>
    </w:p>
    <w:p w14:paraId="24C15903" w14:textId="77777777" w:rsidR="00A41B0B" w:rsidRDefault="00A41B0B" w:rsidP="004A6FFE">
      <w:pPr>
        <w:pStyle w:val="Part"/>
        <w:rPr>
          <w:u w:val="single"/>
        </w:rPr>
      </w:pPr>
      <w:r>
        <w:rPr>
          <w:u w:val="single"/>
        </w:rPr>
        <w:t>(A)</w:t>
      </w:r>
      <w:r>
        <w:rPr>
          <w:u w:val="single"/>
        </w:rPr>
        <w:tab/>
        <w:t xml:space="preserve">radiation levels in adjacent areas, the </w:t>
      </w:r>
      <w:proofErr w:type="gramStart"/>
      <w:r>
        <w:rPr>
          <w:u w:val="single"/>
        </w:rPr>
        <w:t>operator</w:t>
      </w:r>
      <w:proofErr w:type="gramEnd"/>
      <w:r>
        <w:rPr>
          <w:u w:val="single"/>
        </w:rPr>
        <w:t xml:space="preserve"> location, and annual exposure to an </w:t>
      </w:r>
      <w:proofErr w:type="gramStart"/>
      <w:r>
        <w:rPr>
          <w:u w:val="single"/>
        </w:rPr>
        <w:t>operator;</w:t>
      </w:r>
      <w:proofErr w:type="gramEnd"/>
    </w:p>
    <w:p w14:paraId="288088FB" w14:textId="77777777" w:rsidR="00A41B0B" w:rsidRDefault="00A41B0B" w:rsidP="004A6FFE">
      <w:pPr>
        <w:pStyle w:val="Part"/>
        <w:rPr>
          <w:u w:val="single"/>
        </w:rPr>
      </w:pPr>
      <w:r>
        <w:rPr>
          <w:u w:val="single"/>
        </w:rPr>
        <w:t>(B)</w:t>
      </w:r>
      <w:r>
        <w:rPr>
          <w:u w:val="single"/>
        </w:rPr>
        <w:tab/>
        <w:t>the survey instrument used; and</w:t>
      </w:r>
    </w:p>
    <w:p w14:paraId="6613C432" w14:textId="223165FD" w:rsidR="00A41B0B" w:rsidRDefault="00A41B0B" w:rsidP="004A6FFE">
      <w:pPr>
        <w:pStyle w:val="Part"/>
        <w:rPr>
          <w:u w:val="single"/>
        </w:rPr>
      </w:pPr>
      <w:r>
        <w:rPr>
          <w:u w:val="single"/>
        </w:rPr>
        <w:t>(C)</w:t>
      </w:r>
      <w:r>
        <w:rPr>
          <w:u w:val="single"/>
        </w:rPr>
        <w:tab/>
        <w:t xml:space="preserve">the name and legible signature of the person who performed the </w:t>
      </w:r>
      <w:proofErr w:type="gramStart"/>
      <w:r w:rsidRPr="00204E81">
        <w:rPr>
          <w:strike/>
          <w:highlight w:val="yellow"/>
        </w:rPr>
        <w:t>survey</w:t>
      </w:r>
      <w:r w:rsidR="00204E81" w:rsidRPr="00204E81">
        <w:rPr>
          <w:strike/>
          <w:highlight w:val="yellow"/>
        </w:rPr>
        <w:t>;</w:t>
      </w:r>
      <w:proofErr w:type="gramEnd"/>
      <w:r w:rsidR="00204E81" w:rsidRPr="00204E81">
        <w:rPr>
          <w:strike/>
          <w:highlight w:val="yellow"/>
        </w:rPr>
        <w:t xml:space="preserve"> and</w:t>
      </w:r>
      <w:r w:rsidR="00204E81" w:rsidRPr="00204E81">
        <w:rPr>
          <w:highlight w:val="yellow"/>
          <w:u w:val="single"/>
        </w:rPr>
        <w:t xml:space="preserve"> survey</w:t>
      </w:r>
      <w:r w:rsidR="00204E81">
        <w:rPr>
          <w:u w:val="single"/>
        </w:rPr>
        <w:t>.</w:t>
      </w:r>
    </w:p>
    <w:p w14:paraId="1F5AA927" w14:textId="77777777" w:rsidR="00A41B0B" w:rsidRPr="00F63997" w:rsidRDefault="00A41B0B" w:rsidP="004A6FFE">
      <w:pPr>
        <w:pStyle w:val="SubParagraph"/>
        <w:rPr>
          <w:u w:val="single"/>
        </w:rPr>
      </w:pPr>
      <w:r w:rsidRPr="00F63997">
        <w:rPr>
          <w:u w:val="single"/>
        </w:rPr>
        <w:t>(7)</w:t>
      </w:r>
      <w:r w:rsidRPr="00F63997">
        <w:rPr>
          <w:u w:val="single"/>
        </w:rPr>
        <w:tab/>
        <w:t xml:space="preserve">the hazard level associated with </w:t>
      </w:r>
      <w:r>
        <w:rPr>
          <w:u w:val="single"/>
        </w:rPr>
        <w:t xml:space="preserve">the </w:t>
      </w:r>
      <w:r w:rsidRPr="00F63997">
        <w:rPr>
          <w:u w:val="single"/>
        </w:rPr>
        <w:t>use of the RGD</w:t>
      </w:r>
      <w:r>
        <w:rPr>
          <w:u w:val="single"/>
        </w:rPr>
        <w:t>.</w:t>
      </w:r>
    </w:p>
    <w:p w14:paraId="741801B9" w14:textId="77777777" w:rsidR="00A41B0B" w:rsidRDefault="00A41B0B" w:rsidP="004A6FFE">
      <w:pPr>
        <w:pStyle w:val="Paragraph"/>
        <w:rPr>
          <w:u w:val="single"/>
        </w:rPr>
      </w:pPr>
      <w:r>
        <w:rPr>
          <w:u w:val="single"/>
        </w:rPr>
        <w:t>(b</w:t>
      </w:r>
      <w:proofErr w:type="gramStart"/>
      <w:r>
        <w:rPr>
          <w:u w:val="single"/>
        </w:rPr>
        <w:t>)  After</w:t>
      </w:r>
      <w:proofErr w:type="gramEnd"/>
      <w:r>
        <w:rPr>
          <w:u w:val="single"/>
        </w:rPr>
        <w:t xml:space="preserve"> receiving the information in Paragraph (a) of this Rule, the agency will respond to the applicant in writing within 90 days. Upon review, the agency may require additional information to determine if the radiation machine is allowed for use.</w:t>
      </w:r>
    </w:p>
    <w:p w14:paraId="58071E20" w14:textId="77777777" w:rsidR="00A41B0B" w:rsidRPr="00EA748B" w:rsidRDefault="00A41B0B" w:rsidP="004A6FFE">
      <w:pPr>
        <w:pStyle w:val="Base"/>
      </w:pPr>
    </w:p>
    <w:p w14:paraId="241B9EA6" w14:textId="77777777" w:rsidR="00A41B0B" w:rsidRPr="00EA748B" w:rsidRDefault="00A41B0B" w:rsidP="004A6FFE">
      <w:pPr>
        <w:pStyle w:val="History"/>
      </w:pPr>
      <w:r w:rsidRPr="00EA748B">
        <w:t>History Note:</w:t>
      </w:r>
      <w:r w:rsidRPr="00EA748B">
        <w:tab/>
        <w:t>Authority G.S. 104E</w:t>
      </w:r>
      <w:r w:rsidRPr="00EA748B">
        <w:noBreakHyphen/>
        <w:t xml:space="preserve">7; </w:t>
      </w:r>
      <w:bookmarkStart w:id="1" w:name="_Hlk173961166"/>
      <w:r w:rsidRPr="009758A5">
        <w:rPr>
          <w:strike/>
        </w:rPr>
        <w:t>104E</w:t>
      </w:r>
      <w:r w:rsidRPr="009758A5">
        <w:rPr>
          <w:strike/>
        </w:rPr>
        <w:noBreakHyphen/>
        <w:t>13</w:t>
      </w:r>
      <w:bookmarkEnd w:id="1"/>
      <w:r w:rsidRPr="009758A5">
        <w:rPr>
          <w:strike/>
        </w:rPr>
        <w:t>;</w:t>
      </w:r>
      <w:r>
        <w:t xml:space="preserve"> </w:t>
      </w:r>
      <w:r w:rsidRPr="009758A5">
        <w:rPr>
          <w:u w:val="single"/>
        </w:rPr>
        <w:t>104E-</w:t>
      </w:r>
      <w:proofErr w:type="gramStart"/>
      <w:r w:rsidRPr="009758A5">
        <w:rPr>
          <w:u w:val="single"/>
        </w:rPr>
        <w:t>20;</w:t>
      </w:r>
      <w:proofErr w:type="gramEnd"/>
    </w:p>
    <w:p w14:paraId="52A204CB" w14:textId="77777777" w:rsidR="00A41B0B" w:rsidRPr="00EA748B" w:rsidRDefault="00A41B0B" w:rsidP="004A6FFE">
      <w:pPr>
        <w:pStyle w:val="HistoryAfter"/>
      </w:pPr>
      <w:r w:rsidRPr="00EA748B">
        <w:t xml:space="preserve">Eff. June 1, </w:t>
      </w:r>
      <w:proofErr w:type="gramStart"/>
      <w:r w:rsidRPr="00EA748B">
        <w:t>1989;</w:t>
      </w:r>
      <w:proofErr w:type="gramEnd"/>
    </w:p>
    <w:p w14:paraId="2C9ECC52" w14:textId="77777777" w:rsidR="00A41B0B" w:rsidRPr="00EA748B" w:rsidRDefault="00A41B0B" w:rsidP="004A6FFE">
      <w:pPr>
        <w:pStyle w:val="HistoryAfter"/>
      </w:pPr>
      <w:r w:rsidRPr="00EA748B">
        <w:t xml:space="preserve">Amended Eff. June 1, </w:t>
      </w:r>
      <w:proofErr w:type="gramStart"/>
      <w:r w:rsidRPr="00EA748B">
        <w:t>1993;</w:t>
      </w:r>
      <w:proofErr w:type="gramEnd"/>
    </w:p>
    <w:p w14:paraId="631120D5" w14:textId="77777777" w:rsidR="00A41B0B" w:rsidRPr="00EA748B" w:rsidRDefault="00A41B0B" w:rsidP="004A6FFE">
      <w:pPr>
        <w:pStyle w:val="HistoryAfter"/>
      </w:pPr>
      <w:r w:rsidRPr="00EA748B">
        <w:t xml:space="preserve">Transferred and </w:t>
      </w:r>
      <w:proofErr w:type="gramStart"/>
      <w:r w:rsidRPr="00EA748B">
        <w:t>Recodified</w:t>
      </w:r>
      <w:proofErr w:type="gramEnd"/>
      <w:r w:rsidRPr="00EA748B">
        <w:t xml:space="preserve"> from 15A NCAC 11 .0212 Eff. February 1, 2015;</w:t>
      </w:r>
    </w:p>
    <w:p w14:paraId="23256A51" w14:textId="77777777" w:rsidR="00A41B0B" w:rsidRDefault="00A41B0B" w:rsidP="004A6FFE">
      <w:pPr>
        <w:pStyle w:val="HistoryAfter"/>
        <w:rPr>
          <w:u w:val="single"/>
        </w:rPr>
      </w:pPr>
      <w:r w:rsidRPr="00EA748B">
        <w:t xml:space="preserve">Pursuant to G.S. 150B-21.3A, rule is necessary without substantive public interest Eff. June 22, </w:t>
      </w:r>
      <w:r w:rsidRPr="005A0500">
        <w:rPr>
          <w:strike/>
        </w:rPr>
        <w:t>2019.</w:t>
      </w:r>
      <w:r>
        <w:t xml:space="preserve"> </w:t>
      </w:r>
      <w:proofErr w:type="gramStart"/>
      <w:r>
        <w:rPr>
          <w:u w:val="single"/>
        </w:rPr>
        <w:t>2019;</w:t>
      </w:r>
      <w:proofErr w:type="gramEnd"/>
    </w:p>
    <w:p w14:paraId="6D6C5E38" w14:textId="77777777" w:rsidR="00A41B0B" w:rsidRPr="005A0500" w:rsidRDefault="00A41B0B" w:rsidP="004A6FFE">
      <w:pPr>
        <w:pStyle w:val="HistoryAfter"/>
        <w:rPr>
          <w:u w:val="single"/>
        </w:rPr>
      </w:pPr>
      <w:r>
        <w:rPr>
          <w:u w:val="single"/>
        </w:rPr>
        <w:t>Amended Eff. May 1, 2025.</w:t>
      </w:r>
    </w:p>
    <w:sectPr w:rsidR="00A41B0B" w:rsidRPr="005A0500" w:rsidSect="00BD280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1440" w:header="360" w:footer="360" w:gutter="0"/>
      <w:lnNumType w:countBy="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02F65" w14:textId="77777777" w:rsidR="00A41B0B" w:rsidRDefault="00A41B0B" w:rsidP="00A60E47">
      <w:r>
        <w:separator/>
      </w:r>
    </w:p>
  </w:endnote>
  <w:endnote w:type="continuationSeparator" w:id="0">
    <w:p w14:paraId="4F091713" w14:textId="77777777" w:rsidR="00A41B0B" w:rsidRDefault="00A41B0B" w:rsidP="00A6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B404A" w14:textId="77777777" w:rsidR="00A41B0B" w:rsidRDefault="00A41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20C7" w14:textId="77777777" w:rsidR="007C6145" w:rsidRDefault="007C6145" w:rsidP="002532C4">
    <w:pPr>
      <w:jc w:val="center"/>
    </w:pPr>
    <w:r>
      <w:fldChar w:fldCharType="begin"/>
    </w:r>
    <w:r>
      <w:instrText>PAGE</w:instrText>
    </w:r>
    <w:r>
      <w:fldChar w:fldCharType="separate"/>
    </w:r>
    <w:r w:rsidR="00DE4AD3">
      <w:rPr>
        <w:noProof/>
      </w:rPr>
      <w:t>1</w:t>
    </w:r>
    <w:r>
      <w:fldChar w:fldCharType="end"/>
    </w:r>
    <w:r>
      <w:t xml:space="preserve"> of </w:t>
    </w:r>
    <w:fldSimple w:instr=" NUMPAGES  \* Arabic ">
      <w:r w:rsidR="00DE4AD3">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3870E" w14:textId="77777777" w:rsidR="007C6145" w:rsidRDefault="007C6145" w:rsidP="00A60E47">
    <w:r>
      <w:fldChar w:fldCharType="begin"/>
    </w:r>
    <w:r>
      <w:fldChar w:fldCharType="begin"/>
    </w:r>
    <w:r>
      <w:instrText>NUMPAGES</w:instrText>
    </w:r>
    <w:r>
      <w:fldChar w:fldCharType="separate"/>
    </w:r>
    <w:r w:rsidR="00A41B0B">
      <w:rPr>
        <w:noProof/>
      </w:rPr>
      <w:instrText>1</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CC74E" w14:textId="77777777" w:rsidR="00A41B0B" w:rsidRDefault="00A41B0B" w:rsidP="00A60E47">
      <w:r>
        <w:separator/>
      </w:r>
    </w:p>
  </w:footnote>
  <w:footnote w:type="continuationSeparator" w:id="0">
    <w:p w14:paraId="35872D07" w14:textId="77777777" w:rsidR="00A41B0B" w:rsidRDefault="00A41B0B" w:rsidP="00A60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86921" w14:textId="77777777" w:rsidR="00A41B0B" w:rsidRDefault="00A41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424F4" w14:textId="0D661538" w:rsidR="00A41B0B" w:rsidRDefault="00A41B0B" w:rsidP="00A41B0B">
    <w:pPr>
      <w:pStyle w:val="Header"/>
      <w:jc w:val="right"/>
    </w:pPr>
    <w:r>
      <w:t>1/27/2025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6713D" w14:textId="77777777" w:rsidR="00A41B0B" w:rsidRDefault="00A41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16cid:durableId="2043895324">
    <w:abstractNumId w:val="2"/>
  </w:num>
  <w:num w:numId="2" w16cid:durableId="1983847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67642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0B"/>
    <w:rsid w:val="00005A49"/>
    <w:rsid w:val="00037311"/>
    <w:rsid w:val="0005731A"/>
    <w:rsid w:val="00081174"/>
    <w:rsid w:val="00093A22"/>
    <w:rsid w:val="000A7F3D"/>
    <w:rsid w:val="000D00BA"/>
    <w:rsid w:val="000E2FEF"/>
    <w:rsid w:val="00102212"/>
    <w:rsid w:val="0011650F"/>
    <w:rsid w:val="00140463"/>
    <w:rsid w:val="00145BC8"/>
    <w:rsid w:val="00172523"/>
    <w:rsid w:val="001B0231"/>
    <w:rsid w:val="001C3275"/>
    <w:rsid w:val="001E0D7D"/>
    <w:rsid w:val="001F4CB9"/>
    <w:rsid w:val="00200674"/>
    <w:rsid w:val="002038B6"/>
    <w:rsid w:val="00204E81"/>
    <w:rsid w:val="002262FF"/>
    <w:rsid w:val="002314F2"/>
    <w:rsid w:val="00235C1F"/>
    <w:rsid w:val="002412EC"/>
    <w:rsid w:val="002532C4"/>
    <w:rsid w:val="002734FC"/>
    <w:rsid w:val="00295388"/>
    <w:rsid w:val="002B0F89"/>
    <w:rsid w:val="002C2D37"/>
    <w:rsid w:val="002C6772"/>
    <w:rsid w:val="002D46CC"/>
    <w:rsid w:val="002D6D8F"/>
    <w:rsid w:val="002E749B"/>
    <w:rsid w:val="002F13FA"/>
    <w:rsid w:val="002F4BB1"/>
    <w:rsid w:val="00326FDC"/>
    <w:rsid w:val="003344B3"/>
    <w:rsid w:val="003513F4"/>
    <w:rsid w:val="003549DA"/>
    <w:rsid w:val="00355359"/>
    <w:rsid w:val="0037090C"/>
    <w:rsid w:val="00375918"/>
    <w:rsid w:val="003815A3"/>
    <w:rsid w:val="00382004"/>
    <w:rsid w:val="00387ABB"/>
    <w:rsid w:val="00393847"/>
    <w:rsid w:val="003950F4"/>
    <w:rsid w:val="003A4C57"/>
    <w:rsid w:val="003B557C"/>
    <w:rsid w:val="00402A01"/>
    <w:rsid w:val="00402BD0"/>
    <w:rsid w:val="00443812"/>
    <w:rsid w:val="00450BEA"/>
    <w:rsid w:val="00450F93"/>
    <w:rsid w:val="00470BA0"/>
    <w:rsid w:val="004726E0"/>
    <w:rsid w:val="00487D70"/>
    <w:rsid w:val="00494958"/>
    <w:rsid w:val="004D1647"/>
    <w:rsid w:val="004F2E90"/>
    <w:rsid w:val="004F3722"/>
    <w:rsid w:val="004F5F45"/>
    <w:rsid w:val="00511FB7"/>
    <w:rsid w:val="005215BD"/>
    <w:rsid w:val="005238BB"/>
    <w:rsid w:val="00550846"/>
    <w:rsid w:val="00550B8D"/>
    <w:rsid w:val="005C4925"/>
    <w:rsid w:val="005D0AE3"/>
    <w:rsid w:val="005F0F1A"/>
    <w:rsid w:val="005F18E9"/>
    <w:rsid w:val="006555B5"/>
    <w:rsid w:val="00661091"/>
    <w:rsid w:val="00674C70"/>
    <w:rsid w:val="00675F27"/>
    <w:rsid w:val="00683684"/>
    <w:rsid w:val="006920A4"/>
    <w:rsid w:val="0069220D"/>
    <w:rsid w:val="00696F6A"/>
    <w:rsid w:val="006C2082"/>
    <w:rsid w:val="006D0465"/>
    <w:rsid w:val="006E04AC"/>
    <w:rsid w:val="006F05BA"/>
    <w:rsid w:val="00716A08"/>
    <w:rsid w:val="007315B4"/>
    <w:rsid w:val="00770BAF"/>
    <w:rsid w:val="007836FF"/>
    <w:rsid w:val="0079075E"/>
    <w:rsid w:val="007A7EA8"/>
    <w:rsid w:val="007B4FF5"/>
    <w:rsid w:val="007B698D"/>
    <w:rsid w:val="007C0D0E"/>
    <w:rsid w:val="007C6145"/>
    <w:rsid w:val="007D4CE1"/>
    <w:rsid w:val="007E5F94"/>
    <w:rsid w:val="007E657F"/>
    <w:rsid w:val="007F347A"/>
    <w:rsid w:val="008072C8"/>
    <w:rsid w:val="00814D2F"/>
    <w:rsid w:val="008627DA"/>
    <w:rsid w:val="0087037E"/>
    <w:rsid w:val="00884AA9"/>
    <w:rsid w:val="00884D30"/>
    <w:rsid w:val="00886A39"/>
    <w:rsid w:val="0089104A"/>
    <w:rsid w:val="008B3671"/>
    <w:rsid w:val="008D0049"/>
    <w:rsid w:val="008E3A8E"/>
    <w:rsid w:val="00907F8E"/>
    <w:rsid w:val="009138D3"/>
    <w:rsid w:val="00941A8C"/>
    <w:rsid w:val="009538D0"/>
    <w:rsid w:val="00963E3A"/>
    <w:rsid w:val="00964506"/>
    <w:rsid w:val="00976CC0"/>
    <w:rsid w:val="009D692A"/>
    <w:rsid w:val="009D7C39"/>
    <w:rsid w:val="009F3BC9"/>
    <w:rsid w:val="00A41B0B"/>
    <w:rsid w:val="00A60E47"/>
    <w:rsid w:val="00A77887"/>
    <w:rsid w:val="00A90DB7"/>
    <w:rsid w:val="00A936F3"/>
    <w:rsid w:val="00AB27B9"/>
    <w:rsid w:val="00AD739B"/>
    <w:rsid w:val="00AE3533"/>
    <w:rsid w:val="00B43795"/>
    <w:rsid w:val="00B56F84"/>
    <w:rsid w:val="00B643D6"/>
    <w:rsid w:val="00B85B2C"/>
    <w:rsid w:val="00B92ED4"/>
    <w:rsid w:val="00B933CB"/>
    <w:rsid w:val="00BA33C6"/>
    <w:rsid w:val="00BC43C9"/>
    <w:rsid w:val="00BD0461"/>
    <w:rsid w:val="00BD2800"/>
    <w:rsid w:val="00BE62E3"/>
    <w:rsid w:val="00BE7900"/>
    <w:rsid w:val="00C2227D"/>
    <w:rsid w:val="00C44D97"/>
    <w:rsid w:val="00C638AB"/>
    <w:rsid w:val="00C64F17"/>
    <w:rsid w:val="00C7719B"/>
    <w:rsid w:val="00C77950"/>
    <w:rsid w:val="00C913A0"/>
    <w:rsid w:val="00CA265E"/>
    <w:rsid w:val="00CB4DFA"/>
    <w:rsid w:val="00CC7E05"/>
    <w:rsid w:val="00CD7BB0"/>
    <w:rsid w:val="00CF5B8D"/>
    <w:rsid w:val="00D0325A"/>
    <w:rsid w:val="00D04E4C"/>
    <w:rsid w:val="00D1687E"/>
    <w:rsid w:val="00D17419"/>
    <w:rsid w:val="00D30A09"/>
    <w:rsid w:val="00D45A1E"/>
    <w:rsid w:val="00D772F5"/>
    <w:rsid w:val="00D85E7B"/>
    <w:rsid w:val="00D932D9"/>
    <w:rsid w:val="00DA23E2"/>
    <w:rsid w:val="00DB5B5C"/>
    <w:rsid w:val="00DE3739"/>
    <w:rsid w:val="00DE4AD3"/>
    <w:rsid w:val="00DE5308"/>
    <w:rsid w:val="00E02F03"/>
    <w:rsid w:val="00E13D82"/>
    <w:rsid w:val="00E208DC"/>
    <w:rsid w:val="00E37A0A"/>
    <w:rsid w:val="00E435B5"/>
    <w:rsid w:val="00E65699"/>
    <w:rsid w:val="00E809C9"/>
    <w:rsid w:val="00E8351B"/>
    <w:rsid w:val="00E862CD"/>
    <w:rsid w:val="00EA5DB0"/>
    <w:rsid w:val="00EB5EBC"/>
    <w:rsid w:val="00EC1F1E"/>
    <w:rsid w:val="00EC7EA7"/>
    <w:rsid w:val="00F04092"/>
    <w:rsid w:val="00F0717C"/>
    <w:rsid w:val="00F30218"/>
    <w:rsid w:val="00F42C47"/>
    <w:rsid w:val="00F7101F"/>
    <w:rsid w:val="00F833B8"/>
    <w:rsid w:val="00F84228"/>
    <w:rsid w:val="00FA5B22"/>
    <w:rsid w:val="00FC7441"/>
    <w:rsid w:val="00FF52E7"/>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A513B"/>
  <w15:chartTrackingRefBased/>
  <w15:docId w15:val="{B2C794A0-72DF-4DF9-9ACD-2F71D759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174"/>
    <w:rPr>
      <w:kern w:val="2"/>
    </w:rPr>
  </w:style>
  <w:style w:type="paragraph" w:styleId="Heading1">
    <w:name w:val="heading 1"/>
    <w:basedOn w:val="Normal"/>
    <w:next w:val="Normal"/>
    <w:link w:val="Heading1Char"/>
    <w:rsid w:val="00907F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hapter">
    <w:name w:val="Chapter"/>
    <w:basedOn w:val="Base"/>
    <w:next w:val="SubChapter"/>
    <w:rsid w:val="00814D2F"/>
    <w:pPr>
      <w:jc w:val="center"/>
      <w:outlineLvl w:val="0"/>
    </w:pPr>
    <w:rPr>
      <w:b/>
      <w:caps/>
    </w:rPr>
  </w:style>
  <w:style w:type="paragraph" w:customStyle="1" w:styleId="Rule">
    <w:name w:val="Rule"/>
    <w:basedOn w:val="Base"/>
    <w:next w:val="Base"/>
    <w:link w:val="RuleChar"/>
    <w:qFormat/>
    <w:rsid w:val="00884D30"/>
    <w:pPr>
      <w:ind w:left="2160" w:hanging="2160"/>
      <w:outlineLvl w:val="3"/>
    </w:pPr>
    <w:rPr>
      <w:b/>
      <w:caps/>
    </w:rPr>
  </w:style>
  <w:style w:type="paragraph" w:customStyle="1" w:styleId="SubChapter">
    <w:name w:val="SubChapter"/>
    <w:basedOn w:val="Base"/>
    <w:next w:val="Section"/>
    <w:pPr>
      <w:widowControl w:val="0"/>
      <w:jc w:val="center"/>
      <w:outlineLvl w:val="1"/>
    </w:pPr>
    <w:rPr>
      <w:b/>
      <w:caps/>
      <w:snapToGrid w:val="0"/>
    </w:rPr>
  </w:style>
  <w:style w:type="paragraph" w:customStyle="1" w:styleId="SubParagraph">
    <w:name w:val="SubParagraph"/>
    <w:basedOn w:val="Base"/>
    <w:link w:val="SubParagraphChar"/>
    <w:rsid w:val="003A4C57"/>
    <w:pPr>
      <w:tabs>
        <w:tab w:val="left" w:pos="1800"/>
      </w:tabs>
      <w:ind w:left="1440" w:hanging="720"/>
    </w:pPr>
  </w:style>
  <w:style w:type="paragraph" w:customStyle="1" w:styleId="Part">
    <w:name w:val="Part"/>
    <w:basedOn w:val="Base"/>
    <w:rsid w:val="00402A01"/>
    <w:pPr>
      <w:tabs>
        <w:tab w:val="left" w:pos="2520"/>
      </w:tabs>
      <w:ind w:left="2160" w:hanging="720"/>
    </w:pPr>
  </w:style>
  <w:style w:type="paragraph" w:customStyle="1" w:styleId="SubPart">
    <w:name w:val="SubPart"/>
    <w:basedOn w:val="Base"/>
    <w:rsid w:val="00402A01"/>
    <w:pPr>
      <w:tabs>
        <w:tab w:val="left" w:pos="3240"/>
      </w:tabs>
      <w:ind w:left="2880" w:hanging="720"/>
    </w:pPr>
  </w:style>
  <w:style w:type="paragraph" w:customStyle="1" w:styleId="Subsubpart">
    <w:name w:val="Subsubpart"/>
    <w:basedOn w:val="Base"/>
    <w:rsid w:val="00402A01"/>
    <w:pPr>
      <w:tabs>
        <w:tab w:val="left" w:pos="3960"/>
      </w:tabs>
      <w:ind w:left="3600" w:hanging="720"/>
    </w:pPr>
  </w:style>
  <w:style w:type="paragraph" w:customStyle="1" w:styleId="Section">
    <w:name w:val="Section"/>
    <w:basedOn w:val="Base"/>
    <w:next w:val="Base"/>
    <w:pPr>
      <w:jc w:val="center"/>
      <w:outlineLvl w:val="2"/>
    </w:pPr>
    <w:rPr>
      <w:b/>
      <w:caps/>
    </w:rPr>
  </w:style>
  <w:style w:type="paragraph" w:customStyle="1" w:styleId="Item">
    <w:name w:val="Item"/>
    <w:basedOn w:val="Base"/>
    <w:rsid w:val="00402A01"/>
    <w:pPr>
      <w:tabs>
        <w:tab w:val="left" w:pos="1800"/>
      </w:tabs>
      <w:ind w:left="1440" w:hanging="720"/>
    </w:pPr>
  </w:style>
  <w:style w:type="paragraph" w:customStyle="1" w:styleId="SubItemLvl1">
    <w:name w:val="SubItem Lvl 1"/>
    <w:basedOn w:val="Base"/>
    <w:rsid w:val="00402A01"/>
    <w:pPr>
      <w:tabs>
        <w:tab w:val="left" w:pos="2520"/>
      </w:tabs>
      <w:ind w:left="2160" w:hanging="720"/>
    </w:pPr>
  </w:style>
  <w:style w:type="paragraph" w:customStyle="1" w:styleId="SubItemLvl2">
    <w:name w:val="SubItem Lvl 2"/>
    <w:basedOn w:val="Base"/>
    <w:rsid w:val="00402A01"/>
    <w:pPr>
      <w:tabs>
        <w:tab w:val="left" w:pos="3240"/>
      </w:tabs>
      <w:ind w:left="2880" w:hanging="720"/>
    </w:pPr>
  </w:style>
  <w:style w:type="paragraph" w:customStyle="1" w:styleId="SubItemLvl3">
    <w:name w:val="SubItem Lvl 3"/>
    <w:basedOn w:val="Base"/>
    <w:rsid w:val="00402A01"/>
    <w:pPr>
      <w:tabs>
        <w:tab w:val="left" w:pos="3960"/>
      </w:tabs>
      <w:ind w:left="3600" w:hanging="720"/>
    </w:pPr>
  </w:style>
  <w:style w:type="paragraph" w:customStyle="1" w:styleId="SubItemLvl4">
    <w:name w:val="SubItem Lvl 4"/>
    <w:basedOn w:val="Base"/>
    <w:rsid w:val="00402A01"/>
    <w:pPr>
      <w:tabs>
        <w:tab w:val="left" w:pos="4680"/>
      </w:tabs>
      <w:ind w:left="4320" w:hanging="720"/>
    </w:pPr>
  </w:style>
  <w:style w:type="paragraph" w:customStyle="1" w:styleId="HistoryAfter">
    <w:name w:val="HistoryAfter"/>
    <w:basedOn w:val="Base"/>
    <w:pPr>
      <w:ind w:left="1440"/>
    </w:pPr>
    <w:rPr>
      <w:i/>
    </w:rPr>
  </w:style>
  <w:style w:type="character" w:styleId="LineNumber">
    <w:name w:val="line number"/>
    <w:basedOn w:val="DefaultParagraphFont"/>
    <w:rsid w:val="00C64F17"/>
  </w:style>
  <w:style w:type="character" w:customStyle="1" w:styleId="Heading1Char">
    <w:name w:val="Heading 1 Char"/>
    <w:basedOn w:val="DefaultParagraphFont"/>
    <w:link w:val="Heading1"/>
    <w:rsid w:val="00907F8E"/>
    <w:rPr>
      <w:rFonts w:asciiTheme="majorHAnsi" w:eastAsiaTheme="majorEastAsia" w:hAnsiTheme="majorHAnsi" w:cstheme="majorBidi"/>
      <w:color w:val="2E74B5" w:themeColor="accent1" w:themeShade="BF"/>
      <w:kern w:val="2"/>
      <w:sz w:val="32"/>
      <w:szCs w:val="32"/>
    </w:rPr>
  </w:style>
  <w:style w:type="paragraph" w:customStyle="1" w:styleId="DepartmentTitle">
    <w:name w:val="DepartmentTitle"/>
    <w:basedOn w:val="Base"/>
    <w:next w:val="Base"/>
    <w:autoRedefine/>
    <w:rsid w:val="00814D2F"/>
    <w:pPr>
      <w:jc w:val="center"/>
    </w:pPr>
    <w:rPr>
      <w:b/>
      <w:caps/>
    </w:rPr>
  </w:style>
  <w:style w:type="paragraph" w:customStyle="1" w:styleId="Base">
    <w:name w:val="Base"/>
    <w:link w:val="BaseChar"/>
    <w:qFormat/>
    <w:rsid w:val="00450BEA"/>
    <w:pPr>
      <w:spacing w:line="360" w:lineRule="auto"/>
      <w:jc w:val="both"/>
    </w:pPr>
  </w:style>
  <w:style w:type="paragraph" w:customStyle="1" w:styleId="History">
    <w:name w:val="History"/>
    <w:basedOn w:val="Base"/>
    <w:next w:val="HistoryAfter"/>
    <w:link w:val="HistoryChar"/>
    <w:qFormat/>
    <w:rsid w:val="001F4CB9"/>
    <w:pPr>
      <w:ind w:left="1440" w:hanging="1440"/>
    </w:pPr>
    <w:rPr>
      <w:i/>
    </w:rPr>
  </w:style>
  <w:style w:type="paragraph" w:customStyle="1" w:styleId="Paragraph">
    <w:name w:val="Paragraph"/>
    <w:basedOn w:val="Base"/>
    <w:link w:val="ParagraphChar"/>
    <w:qFormat/>
    <w:rsid w:val="003A4C57"/>
    <w:pPr>
      <w:outlineLvl w:val="4"/>
    </w:pPr>
  </w:style>
  <w:style w:type="character" w:customStyle="1" w:styleId="BaseChar">
    <w:name w:val="Base Char"/>
    <w:basedOn w:val="DefaultParagraphFont"/>
    <w:link w:val="Base"/>
    <w:rsid w:val="007C6145"/>
  </w:style>
  <w:style w:type="character" w:customStyle="1" w:styleId="ParagraphChar">
    <w:name w:val="Paragraph Char"/>
    <w:link w:val="Paragraph"/>
    <w:rsid w:val="007C6145"/>
  </w:style>
  <w:style w:type="character" w:customStyle="1" w:styleId="HistoryChar">
    <w:name w:val="History Char"/>
    <w:link w:val="History"/>
    <w:locked/>
    <w:rsid w:val="007C6145"/>
    <w:rPr>
      <w:i/>
    </w:rPr>
  </w:style>
  <w:style w:type="character" w:customStyle="1" w:styleId="RuleChar">
    <w:name w:val="Rule Char"/>
    <w:link w:val="Rule"/>
    <w:rsid w:val="007C6145"/>
    <w:rPr>
      <w:b/>
      <w:caps/>
    </w:rPr>
  </w:style>
  <w:style w:type="character" w:customStyle="1" w:styleId="SubParagraphChar">
    <w:name w:val="SubParagraph Char"/>
    <w:link w:val="SubParagraph"/>
    <w:rsid w:val="007C6145"/>
  </w:style>
  <w:style w:type="paragraph" w:styleId="Header">
    <w:name w:val="header"/>
    <w:basedOn w:val="Normal"/>
    <w:link w:val="HeaderChar"/>
    <w:rsid w:val="00A41B0B"/>
    <w:pPr>
      <w:tabs>
        <w:tab w:val="center" w:pos="4680"/>
        <w:tab w:val="right" w:pos="9360"/>
      </w:tabs>
    </w:pPr>
  </w:style>
  <w:style w:type="character" w:customStyle="1" w:styleId="HeaderChar">
    <w:name w:val="Header Char"/>
    <w:basedOn w:val="DefaultParagraphFont"/>
    <w:link w:val="Header"/>
    <w:rsid w:val="00A41B0B"/>
    <w:rPr>
      <w:kern w:val="2"/>
    </w:rPr>
  </w:style>
  <w:style w:type="paragraph" w:styleId="Footer">
    <w:name w:val="footer"/>
    <w:basedOn w:val="Normal"/>
    <w:link w:val="FooterChar"/>
    <w:rsid w:val="00A41B0B"/>
    <w:pPr>
      <w:tabs>
        <w:tab w:val="center" w:pos="4680"/>
        <w:tab w:val="right" w:pos="9360"/>
      </w:tabs>
    </w:pPr>
  </w:style>
  <w:style w:type="character" w:customStyle="1" w:styleId="FooterChar">
    <w:name w:val="Footer Char"/>
    <w:basedOn w:val="DefaultParagraphFont"/>
    <w:link w:val="Footer"/>
    <w:rsid w:val="00A41B0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kissinger\OneDrive%20-%20State%20of%20North%20Carolina\Desktop\OAH-Agency-Rules-Template%2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5D218-236E-4A8C-BD17-1DAED06B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OAH-Agency-Rules-Template (7)</Template>
  <TotalTime>11</TotalTime>
  <Pages>2</Pages>
  <Words>603</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Kissinger, Regina D</dc:creator>
  <cp:keywords/>
  <cp:lastModifiedBy>Black, Shanah</cp:lastModifiedBy>
  <cp:revision>3</cp:revision>
  <cp:lastPrinted>2000-01-11T18:15:00Z</cp:lastPrinted>
  <dcterms:created xsi:type="dcterms:W3CDTF">2025-01-28T05:26:00Z</dcterms:created>
  <dcterms:modified xsi:type="dcterms:W3CDTF">2025-01-30T17:39:00Z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4af86ecd-87f4-41c0-a7c6-b64c622b4f41</vt:lpwstr>
  </property>
</Properties>
</file>